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84 vom 13. Dezember 2021</w:t>
      </w:r>
    </w:p>
    <w:p>
      <w:r>
        <w:t>GR Gerichte, 2021-12-13, DE</w:t>
      </w:r>
    </w:p>
    <w:p>
      <w:r>
        <w:rPr>
          <w:b/>
        </w:rPr>
        <w:t xml:space="preserve">Quelle: </w:t>
      </w:r>
      <w:r>
        <w:t>https://mcp.opencaselaw.ch/entscheid/gr_gerichte_SK2 2021 84</w:t>
      </w:r>
    </w:p>
    <w:p>
      <w:r>
        <w:t>FR: GR_GERICHTE SK2 2021 84 du 13 décembre 2021</w:t>
      </w:r>
    </w:p>
    <w:p>
      <w:r>
        <w:t>IT: GR_GERICHTE SK2 2021 84 del 13 dicembre 2021</w:t>
      </w:r>
    </w:p>
    <w:p>
      <w:pPr>
        <w:pStyle w:val="Heading2"/>
      </w:pPr>
      <w:r>
        <w:t>Regeste</w:t>
      </w:r>
    </w:p>
    <w:p>
      <w:r>
        <w:t>Verletzung von Verkehrsregeln | Beschwerde gegen Regionalgericht (früher Bezirksgericht)</w:t>
      </w:r>
    </w:p>
    <w:p>
      <w:pPr>
        <w:pStyle w:val="Heading2"/>
      </w:pPr>
      <w:r>
        <w:t>Erwägungen</w:t>
      </w:r>
    </w:p>
    <w:p>
      <w:r>
        <w:rPr>
          <w:b/>
        </w:rPr>
        <w:t>E. 1</w:t>
      </w:r>
    </w:p>
    <w:p>
      <w:r>
        <w:t>Gestützt auf Art. 393 Abs. 1 lit. b StPO kann gegen Verfügungen und Be- schlüsse sowie die Verfahrenshandlungen der erstinstanzlichen Gerichte Be- schwerde beim Kantonsgericht erhoben werden. Diese ist innert zehn Tagen schrift- lich und begründet bei der Beschwerdeinstanz einzureichen. Die Behandlung der Beschwerde fällt in die Zuständigkeit der II. Strafkammer des Kantonsgerichts (Art. 10 Abs. 1 KGV [BR 173.110]).</w:t>
      </w:r>
    </w:p>
    <w:p>
      <w:r>
        <w:rPr>
          <w:b/>
        </w:rPr>
        <w:t>E. 1.2</w:t>
      </w:r>
    </w:p>
    <w:p>
      <w:r>
        <w:t>Der Beschluss des Regionalgerichts Landquart vom 8. September 2021, mitgeteilt am 28. September 2021 wurde dem Beschwerdeführer am 30. Septem- ber 2021 am Postschalter zugestellt (act. E.1/1). Damit wurde die zehntägige Be- schwerdefrist mit der E-Mail vom 8. Oktober 2021 eingehalten.</w:t>
      </w:r>
    </w:p>
    <w:p>
      <w:r>
        <w:rPr>
          <w:b/>
        </w:rPr>
        <w:t>E. 1.3</w:t>
      </w:r>
    </w:p>
    <w:p>
      <w:r>
        <w:t>Unklar ist indes der sog. Beschwerdewille (dazu näher KGer GR SK2 16 20 E. 2 m.w.H.). Der Beschwerdeführer kritisiert zwar einerseits den Beschluss des Regionalgerichts Landquart vom 8. September 2021 (Proz. Nr. 515-2021-16), hält andererseits aber ausdrücklich fest, dass er keine Beschwerde erhebe (vgl. act. A.2 [E-Mail vom 2.11.2021 08:51 Uhr]). Dies trotz entsprechender Aufforde- rung zur Präzisierung (vgl. act. D.2). Die Frage kann jedoch offengelassen wer- den, da die Beschwerde – selbst wenn es sich um eine solche handeln sollte – ohnehin abzuweisen wäre. 2.1. Vorliegend gilt es zu prüfen, ob das Regionalgericht Landquart die Einspra- che des Beschwerdeführers vom 7. Mai 2021 zu Recht als verspätet und ungültig erklärt hat (act. E.1). 2.2. Gemäss Art. 352 Abs. 1 StPO erlässt die Staatsanwaltschaft in den gesetz- lich statuierten Fällen einen Strafbefehl, wenn die beschuldigte Person im Vorver- fahren den Sachverhalt eingestanden hat oder dieser anderweitig ausreichend geklärt ist. Erhebt die beschuldigte Person innert zehn Tagen schriftlich Einspra- che gemäss Art. 354 StPO und hält die Staatsanwaltschaft am Strafbefehl fest, so überweist die Staatsanwaltschaft den Strafbefehl an das zuständige erstinstanzli- che Gericht. Das Gericht prüft sowohl Gültigkeit des Strafbefehls als auch der Ein- sprache (Art. 356 Abs. 2 StPO). Die Einsprache der beschuldigten Person ist gül- tig, wenn sie schriftlich und innert der Frist eingeht (Art. 354 Abs. 1 und 2 StPO). Die Unterschrift muss eigenhändig bzw. im Original auf dem Schriftdokument an- gebracht werden (BGE 142 IV 299 E. 1.1; 112 Ia 173 E. 1).</w:t>
      </w:r>
    </w:p>
    <w:p>
      <w:r>
        <w:rPr>
          <w:b/>
        </w:rPr>
        <w:t>E. 4</w:t>
      </w:r>
    </w:p>
    <w:p>
      <w:r>
        <w:t>/ 6 2.3. Selbst wenn die Eingabe als Beschwerde entgegenzunehmen wäre (vgl. oben Erwägung 1.3), wäre sie abzuweisen. Die Vorinstanz erachtete die Einspra- che des Beschwerdeführers gegen den Strafbefehl der Staatsanwaltschaft Graubünden als verspätet und daher ungültig, weshalb der erwähnte Strafbefehl weiterhin wirksam bleibe (vgl. act. E.1, Dispo-Ziff. 1). Zur Begründung führte die Vorinstanz aus, besagter Strafbefehl sei dem Beschwerdeführer am 9. Februar 2021 zugestellt worden, weshalb die zehntägige Einsprachefrist am 19. Februar 2021 geendet habe. Der Beschwerdeführer habe seine Einsprache jedoch erst am</w:t>
      </w:r>
    </w:p>
    <w:p>
      <w:r>
        <w:rPr>
          <w:b/>
        </w:rPr>
        <w:t>E. 7</w:t>
      </w:r>
    </w:p>
    <w:p>
      <w:r>
        <w:t>Mai 2021 eingereicht, weshalb sie offensichtlich verspätet erfolgt sei (vgl. act. E.1, E. 5). Der Beschwerdeführer hält dem entgegen, sein Einspruch (recte: seine Einsprache) möge verspätet gewesen sein. Da er jedoch im Urlaub gewe- sen sei, habe er nicht früher reagieren können. Zehn Tage Frist seien auch viel zu wenig (vgl. act. A.2 [E-Mail vom 8.10.2021 12:01 Uhr]). Dazu ist zunächst zu be- merken, dass sowohl die Strafbehörden als auch die Parteien an die vom Gesetz- geber festgelegten Fristen – die sog. gesetzlichen Fristen – gebunden sind. Diese können denn auch nicht erstreckt werden (Art. 89 Abs. 1 StPO). Eine Partei kann jedoch die Wiederherstellung einer Frist verlangen, wenn sie die Frist versäumt hat und ihr daraus ein erheblicher und unersetzlicher Rechtsverlust erwachsen würde. Sie hat dabei glaubhaft zu machen, dass sie an der Säumnis kein Ver- schulden trifft (Art. 94 Abs. 1 StPO).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(Art. 94 Abs. 2 StPO). Der Beschwerdeführer belegt seine angebliche Fe- rienabwesenheit nicht weiter. Es ist denn auch kaum anzunehmen, dass der Be- schwerdeführer in der Zeit vom 19. Februar bis 7. Mai 2021 durchgehend – und damit während mehr als zweieinhalb Monaten – in den Ferien weilte, zumal er nach wie vor im erwerbsfähigen Alter bzw. berufstätig sein dürfte. Damit vermag der Beschwerdeführer keine zureichenden Gründe für eine Wiederherstellung der Einsprachefrist zu nennen, weshalb es bei der Feststellung der Vorinstanz bleibt, wonach die Einsprache verspätet erfolgt ist. In Bestätigung des vorinstanzlichen Entscheides ist die Beschwerde – sollte es sich bei der Eingabe des Beschwerde- führers tatsächlich um eine solche handeln – abzuweisen, soweit darauf über- haupt eingetreten werden kann. 2.4. Damit kann offenbleiben, ob die per E-Mail eingereichten und nicht unter- schriebenen Eingaben den Formerfordernissen einer Beschwerde zu genügen vermögen bzw. ob hierfür zur Verbesserung eine Nachfrist hätte angesetzt werden</w:t>
      </w:r>
    </w:p>
    <w:p>
      <w:r>
        <w:t>5 / 6 müssen, da die Nachfristansetzung nicht der inhaltlichen Überarbeitung der Be- schwerde dient (BGer 6B_688/2013 v. 28.10.2013 E. 4.2). 3. Die vorliegende Entscheidung ergeht in Anwendung von Art. 395 lit. a StPO und Art. 18 Abs. 3 GOG in einzelrichterlicher Kompetenz. 4. Die Kosten des Rechtsmittelverfahrens tragen die Parteien nach Massgabe ihres Obsiegens oder Unterliegens. Als unterliegend gilt auch die Partei, auf deren Rechtsmittel nicht eingetreten wird oder die das Rechtsmittel zurückzieht (Art. 428 Abs. 1 StPO). Damit unterliegt der Beschwerdeführer im vorliegenden Beschwer- deverfahren vollständig, sodass er grundsätzlich die Gerichtskosten zu tragen hät- te. Vorliegend werden jedoch ausnahmsweise keine Kosten erhoben.</w:t>
      </w:r>
    </w:p>
    <w:p>
      <w:r>
        <w:t>6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